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11" w:rsidRDefault="00126711" w:rsidP="00126711">
      <w:pPr>
        <w:pStyle w:val="1"/>
        <w:jc w:val="center"/>
        <w:rPr>
          <w:rFonts w:eastAsia="Times New Roman"/>
        </w:rPr>
      </w:pPr>
      <w:r>
        <w:rPr>
          <w:rStyle w:val="a4"/>
          <w:rFonts w:eastAsia="Times New Roman"/>
        </w:rPr>
        <w:t xml:space="preserve">Предельные сроки </w:t>
      </w:r>
      <w:proofErr w:type="gramStart"/>
      <w:r>
        <w:rPr>
          <w:rStyle w:val="a4"/>
          <w:rFonts w:eastAsia="Times New Roman"/>
        </w:rPr>
        <w:t>устранения недостатков содержания общего имущества собственников помещений</w:t>
      </w:r>
      <w:proofErr w:type="gramEnd"/>
      <w:r>
        <w:rPr>
          <w:rStyle w:val="a4"/>
          <w:rFonts w:eastAsia="Times New Roman"/>
        </w:rPr>
        <w:t xml:space="preserve"> в многоквартирном доме</w:t>
      </w:r>
    </w:p>
    <w:p w:rsidR="00126711" w:rsidRDefault="00126711" w:rsidP="00126711">
      <w:pPr>
        <w:jc w:val="both"/>
        <w:rPr>
          <w:rFonts w:ascii="Georgia" w:eastAsia="Times New Roman" w:hAnsi="Georgia"/>
          <w:color w:val="746649"/>
          <w:sz w:val="18"/>
          <w:szCs w:val="1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3350"/>
      </w:tblGrid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Неисправности конструктивных элементов и оборудования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Предельный срок выполнения ремонта после получения заявки диспетчером</w:t>
            </w:r>
          </w:p>
        </w:tc>
      </w:tr>
      <w:tr w:rsidR="00126711" w:rsidTr="00444414">
        <w:tc>
          <w:tcPr>
            <w:tcW w:w="9570" w:type="dxa"/>
            <w:gridSpan w:val="2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Style w:val="a4"/>
                <w:rFonts w:ascii="Georgia" w:hAnsi="Georgia"/>
                <w:color w:val="746649"/>
                <w:sz w:val="18"/>
                <w:szCs w:val="18"/>
              </w:rPr>
              <w:t>I. Аварийные работы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Протечки в отдельных местах крыши (кровли)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1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2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Течь в трубопроводах, приборах, арматуре, кранах, вентилях, задвижках и запорных устройствах внутридомовых инженерных систем отопления, газоснабжения, холодного и горячего водоснабжения и водоотведения 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1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3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Неисправности, связанные с угрозой аварии внутридомовых сетей отопления, централизованного газоснабжения, холодного и горячего водоснабжения, водоотведения и их сопряжений (в том числе с фитингами, арматурой и оборудованием)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Немедленно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4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Повреждение одного из кабелей внутридомовой системы электроснабжения, питающих </w:t>
            </w:r>
            <w:proofErr w:type="spellStart"/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Многоквартитрный</w:t>
            </w:r>
            <w:proofErr w:type="spellEnd"/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 дом, отключение системы питания жилого дома или силового электрооборудования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При наличии переключателей кабелей на воде в дом – в течение времени, необходимого для прибытия персонала, для выполнения работ, но не более 2 часов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5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Неисправности во вводно-</w:t>
            </w:r>
            <w:proofErr w:type="spellStart"/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распредительном</w:t>
            </w:r>
            <w:proofErr w:type="spellEnd"/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 устройстве внутридомовой системы электроснабжения, связанные с заменой предохранителей, автоматических выключателей, рубильников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3 часов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6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Неисправности автоматов защиты стояков и питающих линий внутридомовой системы электроснабжения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3 часов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7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Неисправности, связанные с угрозой аварии внутридомовых сетей электроснабжения (в том числе, короткое замыкание в элементах внутридомовой электрической сети) 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Немедленно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8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Неисправности пожарной сигнализации и средств тушения в жилых домах 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Немедленно</w:t>
            </w:r>
          </w:p>
        </w:tc>
      </w:tr>
      <w:tr w:rsidR="00126711" w:rsidTr="00444414">
        <w:tc>
          <w:tcPr>
            <w:tcW w:w="9570" w:type="dxa"/>
            <w:gridSpan w:val="2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jc w:val="center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Style w:val="a4"/>
                <w:rFonts w:ascii="Georgia" w:hAnsi="Georgia"/>
                <w:color w:val="746649"/>
                <w:sz w:val="18"/>
                <w:szCs w:val="18"/>
              </w:rPr>
              <w:t>II. Прочие непредвиденные работы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9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Повреждения водоотводящих элементов крыши (кровли) и наружных стен (водосточных труб, воронок, колен, </w:t>
            </w:r>
            <w:proofErr w:type="spellStart"/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отметов</w:t>
            </w:r>
            <w:proofErr w:type="spellEnd"/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 и пр.), расстройство их креплений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5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0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Трещины, утрата связи отдельных элементов ограждающих несущих конструкций жилого дома (отдельных кирпичей, балконов и др.) и иные нарушения, угрожающие выпадением элементов ограждающих несущих конструкций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1 суток (с немедленным ограждением опасной зоны)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1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lastRenderedPageBreak/>
              <w:t>Нарушение связи наружной облицовки и других архитектурных элементов со стенами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Немедленное принятие мер безопасности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2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proofErr w:type="spellStart"/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Неплотность</w:t>
            </w:r>
            <w:proofErr w:type="spellEnd"/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 в каналах систем вентиляции и кондиционирования, дымоходах и газоходах и сопряжения их с печами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3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3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Разбитые стекла окон и дверей помещений общего пользования и сорванные створки оконных переплетов, форточек, балконных дверных полотен в помещениях общего пользования: 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В зимнее время - не более 1 суток</w:t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</w:r>
            <w:r>
              <w:rPr>
                <w:rFonts w:ascii="Georgia" w:hAnsi="Georgia"/>
                <w:color w:val="746649"/>
                <w:sz w:val="18"/>
                <w:szCs w:val="18"/>
              </w:rPr>
              <w:br/>
              <w:t>В летнее время - не более 3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4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Неисправности дверных заполнений (входные двери в подъездах)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1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5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Отслоение штукатурки потолков или внутренней отделки верхней части стен помещений общего пользования, угрожающее ее обрушению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5 суток (с немедленным принятием мер безопасности)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6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Протечки в перекрытиях, вызванные нарушением водонепроницаемости гидроизоляции полов в помещениях общего пользования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3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7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 xml:space="preserve">Неисправности систем автоматического управления внутридомовыми инженерными системами 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5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8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Неисправности в системе освещения помещений общего пользования (с заменой электрических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3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19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Неисправности лифта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1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20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Неисправности оборудования мусоропроводов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1 суток</w:t>
            </w:r>
          </w:p>
        </w:tc>
      </w:tr>
      <w:tr w:rsidR="00126711" w:rsidTr="00444414">
        <w:tc>
          <w:tcPr>
            <w:tcW w:w="616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126711">
            <w:pPr>
              <w:numPr>
                <w:ilvl w:val="0"/>
                <w:numId w:val="21"/>
              </w:numPr>
              <w:spacing w:before="48" w:after="48" w:line="288" w:lineRule="atLeast"/>
              <w:ind w:left="480"/>
              <w:rPr>
                <w:rFonts w:ascii="Georgia" w:eastAsia="Times New Roman" w:hAnsi="Georgia"/>
                <w:color w:val="16130E"/>
                <w:sz w:val="18"/>
                <w:szCs w:val="18"/>
              </w:rPr>
            </w:pPr>
            <w:r>
              <w:rPr>
                <w:rFonts w:ascii="Georgia" w:eastAsia="Times New Roman" w:hAnsi="Georgia"/>
                <w:color w:val="16130E"/>
                <w:sz w:val="18"/>
                <w:szCs w:val="18"/>
              </w:rPr>
              <w:t>Неисправности оборудования детских, спортивных и иных площадок, находящихся на земельном участке, входящем в состав жилого дома, связанные с угрозой причинения вреда жизни и здоровья граждан</w:t>
            </w:r>
          </w:p>
        </w:tc>
        <w:tc>
          <w:tcPr>
            <w:tcW w:w="3405" w:type="dxa"/>
            <w:tcBorders>
              <w:top w:val="single" w:sz="6" w:space="0" w:color="978582"/>
              <w:left w:val="single" w:sz="6" w:space="0" w:color="978582"/>
              <w:bottom w:val="single" w:sz="6" w:space="0" w:color="978582"/>
              <w:right w:val="single" w:sz="6" w:space="0" w:color="97858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6711" w:rsidRDefault="00126711" w:rsidP="00444414">
            <w:pPr>
              <w:pStyle w:val="a3"/>
              <w:rPr>
                <w:rFonts w:ascii="Georgia" w:hAnsi="Georgia"/>
                <w:color w:val="746649"/>
                <w:sz w:val="18"/>
                <w:szCs w:val="18"/>
              </w:rPr>
            </w:pPr>
            <w:r>
              <w:rPr>
                <w:rFonts w:ascii="Georgia" w:hAnsi="Georgia"/>
                <w:color w:val="746649"/>
                <w:sz w:val="18"/>
                <w:szCs w:val="18"/>
              </w:rPr>
              <w:t>Не более 1 суток (с немедленным принятием мер безопасности)</w:t>
            </w:r>
          </w:p>
        </w:tc>
      </w:tr>
    </w:tbl>
    <w:p w:rsidR="00362197" w:rsidRDefault="00126711">
      <w:bookmarkStart w:id="0" w:name="_GoBack"/>
      <w:bookmarkEnd w:id="0"/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010"/>
    <w:multiLevelType w:val="multilevel"/>
    <w:tmpl w:val="4764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4606C"/>
    <w:multiLevelType w:val="multilevel"/>
    <w:tmpl w:val="D96C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54629"/>
    <w:multiLevelType w:val="multilevel"/>
    <w:tmpl w:val="BB22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C7550"/>
    <w:multiLevelType w:val="multilevel"/>
    <w:tmpl w:val="BB6A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ED353B"/>
    <w:multiLevelType w:val="multilevel"/>
    <w:tmpl w:val="ACB2D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BF0323"/>
    <w:multiLevelType w:val="multilevel"/>
    <w:tmpl w:val="2CF0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E308B2"/>
    <w:multiLevelType w:val="multilevel"/>
    <w:tmpl w:val="A8A2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DD452D"/>
    <w:multiLevelType w:val="multilevel"/>
    <w:tmpl w:val="05F6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252FB"/>
    <w:multiLevelType w:val="multilevel"/>
    <w:tmpl w:val="7A36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7270F"/>
    <w:multiLevelType w:val="multilevel"/>
    <w:tmpl w:val="2CBC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C44DB"/>
    <w:multiLevelType w:val="multilevel"/>
    <w:tmpl w:val="B636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69435A"/>
    <w:multiLevelType w:val="multilevel"/>
    <w:tmpl w:val="4984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21F6A"/>
    <w:multiLevelType w:val="multilevel"/>
    <w:tmpl w:val="C824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5365A"/>
    <w:multiLevelType w:val="multilevel"/>
    <w:tmpl w:val="D52A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AA3BCA"/>
    <w:multiLevelType w:val="multilevel"/>
    <w:tmpl w:val="0CE0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36318F"/>
    <w:multiLevelType w:val="multilevel"/>
    <w:tmpl w:val="F854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94291"/>
    <w:multiLevelType w:val="multilevel"/>
    <w:tmpl w:val="E25A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B11EAB"/>
    <w:multiLevelType w:val="multilevel"/>
    <w:tmpl w:val="9166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461E5A"/>
    <w:multiLevelType w:val="multilevel"/>
    <w:tmpl w:val="1C04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1C1352"/>
    <w:multiLevelType w:val="multilevel"/>
    <w:tmpl w:val="C29A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287202"/>
    <w:multiLevelType w:val="multilevel"/>
    <w:tmpl w:val="193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4"/>
  </w:num>
  <w:num w:numId="5">
    <w:abstractNumId w:val="18"/>
  </w:num>
  <w:num w:numId="6">
    <w:abstractNumId w:val="1"/>
  </w:num>
  <w:num w:numId="7">
    <w:abstractNumId w:val="0"/>
  </w:num>
  <w:num w:numId="8">
    <w:abstractNumId w:val="11"/>
  </w:num>
  <w:num w:numId="9">
    <w:abstractNumId w:val="20"/>
  </w:num>
  <w:num w:numId="10">
    <w:abstractNumId w:val="12"/>
  </w:num>
  <w:num w:numId="11">
    <w:abstractNumId w:val="6"/>
  </w:num>
  <w:num w:numId="12">
    <w:abstractNumId w:val="7"/>
  </w:num>
  <w:num w:numId="13">
    <w:abstractNumId w:val="19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9"/>
  </w:num>
  <w:num w:numId="19">
    <w:abstractNumId w:val="13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11"/>
    <w:rsid w:val="00126711"/>
    <w:rsid w:val="00A23A15"/>
    <w:rsid w:val="00D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6711"/>
    <w:pPr>
      <w:spacing w:before="100" w:beforeAutospacing="1" w:after="100" w:afterAutospacing="1"/>
      <w:outlineLvl w:val="0"/>
    </w:pPr>
    <w:rPr>
      <w:rFonts w:ascii="Georgia" w:hAnsi="Georgia"/>
      <w:color w:val="64583F"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711"/>
    <w:rPr>
      <w:rFonts w:ascii="Georgia" w:eastAsiaTheme="minorEastAsia" w:hAnsi="Georgia" w:cs="Times New Roman"/>
      <w:color w:val="64583F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12671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6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6711"/>
    <w:pPr>
      <w:spacing w:before="100" w:beforeAutospacing="1" w:after="100" w:afterAutospacing="1"/>
      <w:outlineLvl w:val="0"/>
    </w:pPr>
    <w:rPr>
      <w:rFonts w:ascii="Georgia" w:hAnsi="Georgia"/>
      <w:color w:val="64583F"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711"/>
    <w:rPr>
      <w:rFonts w:ascii="Georgia" w:eastAsiaTheme="minorEastAsia" w:hAnsi="Georgia" w:cs="Times New Roman"/>
      <w:color w:val="64583F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12671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6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2012-12-06T10:48:00Z</dcterms:created>
  <dcterms:modified xsi:type="dcterms:W3CDTF">2012-12-06T10:49:00Z</dcterms:modified>
</cp:coreProperties>
</file>